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0C6" w:rsidRPr="007720C6" w:rsidRDefault="007720C6" w:rsidP="007720C6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282828"/>
          <w:sz w:val="27"/>
          <w:szCs w:val="27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Di seguito una sintesi in linguaggio semplice, pensata per informare cittadini stranieri, datori di lavoro, famiglie e operatori dei servizi sulle principali disposizioni della circolare congiunta n. 7185 del 1° ottobre 2026, relativa al </w:t>
      </w:r>
      <w:r w:rsidRPr="007720C6">
        <w:rPr>
          <w:rFonts w:ascii="Segoe UI" w:eastAsia="Times New Roman" w:hAnsi="Segoe UI" w:cs="Segoe UI"/>
          <w:b/>
          <w:bCs/>
          <w:color w:val="0D0D0D"/>
          <w:sz w:val="27"/>
          <w:szCs w:val="27"/>
          <w:bdr w:val="none" w:sz="0" w:space="0" w:color="auto" w:frame="1"/>
          <w:lang w:eastAsia="it-IT"/>
        </w:rPr>
        <w:t>Decreto Flussi 2027</w:t>
      </w: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. </w:t>
      </w:r>
    </w:p>
    <w:p w:rsidR="007720C6" w:rsidRPr="007720C6" w:rsidRDefault="007720C6" w:rsidP="00772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720C6" w:rsidRPr="007720C6" w:rsidRDefault="007720C6" w:rsidP="007720C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bdr w:val="none" w:sz="0" w:space="0" w:color="auto" w:frame="1"/>
          <w:shd w:val="clear" w:color="auto" w:fill="F3F3F3"/>
          <w:lang w:eastAsia="it-IT"/>
        </w:rPr>
      </w:pPr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bdr w:val="none" w:sz="0" w:space="0" w:color="auto" w:frame="1"/>
          <w:shd w:val="clear" w:color="auto" w:fill="F3F3F3"/>
          <w:lang w:eastAsia="it-IT"/>
        </w:rPr>
        <w:t>Decreto Flussi 2027</w:t>
      </w:r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36"/>
          <w:szCs w:val="36"/>
          <w:bdr w:val="none" w:sz="0" w:space="0" w:color="auto" w:frame="1"/>
          <w:shd w:val="clear" w:color="auto" w:fill="F3F3F3"/>
          <w:lang w:eastAsia="it-IT"/>
        </w:rPr>
        <w:t>1. Quanti ingressi sono previsti?</w:t>
      </w:r>
    </w:p>
    <w:p w:rsidR="007720C6" w:rsidRPr="007720C6" w:rsidRDefault="007720C6" w:rsidP="007720C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282828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 xml:space="preserve">Per il 2027 sono programmati complessivamente </w:t>
      </w:r>
      <w:r w:rsidRPr="007720C6">
        <w:rPr>
          <w:rFonts w:ascii="Segoe UI" w:eastAsia="Times New Roman" w:hAnsi="Segoe UI" w:cs="Segoe UI"/>
          <w:b/>
          <w:bCs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>165.850 ingressi di cittadini non comunitari per motivi di lavoro</w:t>
      </w:r>
      <w:r w:rsidRPr="007720C6"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 xml:space="preserve">, così suddivisi: </w:t>
      </w:r>
    </w:p>
    <w:p w:rsidR="007720C6" w:rsidRDefault="004E22B0" w:rsidP="004E22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Lavoro subordinato non stagionale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76.200 ingressi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Di cui 14.000 destinati all'assistenza familiare.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Lavoro subordinato stagionale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89.000 ingressi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Nei settori agricolo e turistico.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Lavoro autonomo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650 ingressi</w:t>
      </w:r>
    </w:p>
    <w:p w:rsidR="007720C6" w:rsidRDefault="007720C6" w:rsidP="004E22B0">
      <w:pPr>
        <w:rPr>
          <w:rFonts w:ascii="Arial" w:hAnsi="Arial" w:cs="Arial"/>
          <w:sz w:val="24"/>
          <w:szCs w:val="24"/>
        </w:rPr>
      </w:pPr>
    </w:p>
    <w:p w:rsidR="007720C6" w:rsidRPr="007720C6" w:rsidRDefault="007720C6" w:rsidP="007720C6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282828"/>
          <w:sz w:val="27"/>
          <w:szCs w:val="27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Le quote sono soggette alle riserve e alle ulteriori ripartizioni previste dalla normativa. Il numero complessivo non significa che ogni domanda sarà automaticamente accolta. </w:t>
      </w:r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36"/>
          <w:szCs w:val="36"/>
          <w:bdr w:val="none" w:sz="0" w:space="0" w:color="auto" w:frame="1"/>
          <w:shd w:val="clear" w:color="auto" w:fill="F3F3F3"/>
          <w:lang w:eastAsia="it-IT"/>
        </w:rPr>
        <w:t>2. Quando si possono presentare le domande?</w:t>
      </w:r>
    </w:p>
    <w:p w:rsidR="007720C6" w:rsidRDefault="007720C6" w:rsidP="007720C6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 xml:space="preserve">La procedura prevede una fase di precompilazione nel 2026 e successive giornate di invio, denominate </w:t>
      </w:r>
      <w:r w:rsidRPr="007720C6">
        <w:rPr>
          <w:rFonts w:ascii="Segoe UI" w:eastAsia="Times New Roman" w:hAnsi="Segoe UI" w:cs="Segoe UI"/>
          <w:i/>
          <w:iCs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 xml:space="preserve">click </w:t>
      </w:r>
      <w:proofErr w:type="spellStart"/>
      <w:r w:rsidRPr="007720C6">
        <w:rPr>
          <w:rFonts w:ascii="Segoe UI" w:eastAsia="Times New Roman" w:hAnsi="Segoe UI" w:cs="Segoe UI"/>
          <w:i/>
          <w:iCs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>day</w:t>
      </w:r>
      <w:proofErr w:type="spellEnd"/>
      <w:r w:rsidRPr="007720C6"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  <w:t>, nel 2027.</w:t>
      </w:r>
    </w:p>
    <w:p w:rsidR="007720C6" w:rsidRDefault="007720C6" w:rsidP="007720C6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CFC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3142"/>
        <w:gridCol w:w="4576"/>
      </w:tblGrid>
      <w:tr w:rsidR="007720C6" w:rsidRPr="007720C6" w:rsidTr="007720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  <w:t>Fase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  <w:t>Date e orari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it-IT"/>
              </w:rPr>
              <w:t>Cosa fare</w:t>
            </w:r>
          </w:p>
        </w:tc>
      </w:tr>
      <w:tr w:rsidR="007720C6" w:rsidRPr="007720C6" w:rsidTr="007720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Precompilazione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23 ottobre – 7 dicembre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Il datore di lavoro compila la domanda online.</w:t>
            </w:r>
          </w:p>
        </w:tc>
      </w:tr>
      <w:tr w:rsidR="007720C6" w:rsidRPr="007720C6" w:rsidTr="007720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Completamento e salvataggio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9–13 dicembre 2026, dalle ore 9:00 del 9 alle ore 20:00 del 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Si completano e salvano le domande già precompilate; non è possibile inserirne di nuove.</w:t>
            </w:r>
          </w:p>
        </w:tc>
      </w:tr>
      <w:tr w:rsidR="007720C6" w:rsidRPr="007720C6" w:rsidTr="007720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 xml:space="preserve">Click </w:t>
            </w:r>
            <w:proofErr w:type="spellStart"/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day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Gennaio e febbraio 2027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7720C6" w:rsidRPr="007720C6" w:rsidRDefault="007720C6" w:rsidP="007720C6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</w:pPr>
            <w:r w:rsidRPr="007720C6">
              <w:rPr>
                <w:rFonts w:ascii="Segoe UI" w:eastAsia="Times New Roman" w:hAnsi="Segoe UI" w:cs="Segoe UI"/>
                <w:color w:val="0D0D0D"/>
                <w:sz w:val="27"/>
                <w:szCs w:val="27"/>
                <w:lang w:eastAsia="it-IT"/>
              </w:rPr>
              <w:t>Si invia la domanda nella data prevista per la categoria di lavoro.</w:t>
            </w:r>
          </w:p>
        </w:tc>
      </w:tr>
    </w:tbl>
    <w:p w:rsidR="007720C6" w:rsidRDefault="007720C6" w:rsidP="007720C6">
      <w:pPr>
        <w:pStyle w:val="Titolo2"/>
        <w:shd w:val="clear" w:color="auto" w:fill="FCFCFC"/>
        <w:spacing w:before="405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lastRenderedPageBreak/>
        <w:t xml:space="preserve">3. Calendario dei click </w:t>
      </w:r>
      <w:proofErr w:type="spellStart"/>
      <w:r>
        <w:rPr>
          <w:rFonts w:ascii="Segoe UI" w:hAnsi="Segoe UI" w:cs="Segoe UI"/>
          <w:color w:val="0D0D0D"/>
        </w:rPr>
        <w:t>day</w:t>
      </w:r>
      <w:proofErr w:type="spellEnd"/>
      <w:r>
        <w:rPr>
          <w:rFonts w:ascii="Segoe UI" w:hAnsi="Segoe UI" w:cs="Segoe UI"/>
          <w:color w:val="0D0D0D"/>
        </w:rPr>
        <w:t xml:space="preserve"> 2027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12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7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GENNAIO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Style w:val="xt0psk2"/>
          <w:rFonts w:ascii="Segoe UI" w:hAnsi="Segoe UI" w:cs="Segoe UI"/>
          <w:b/>
          <w:bCs/>
          <w:color w:val="0D0D0D"/>
          <w:sz w:val="27"/>
          <w:szCs w:val="27"/>
          <w:bdr w:val="none" w:sz="0" w:space="0" w:color="auto" w:frame="1"/>
        </w:rPr>
        <w:t>Lavoro agricolo stagionale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Modello C-</w:t>
      </w:r>
      <w:proofErr w:type="spellStart"/>
      <w:r>
        <w:rPr>
          <w:rFonts w:ascii="Segoe UI" w:hAnsi="Segoe UI" w:cs="Segoe UI"/>
          <w:color w:val="5D5D5D"/>
          <w:sz w:val="27"/>
          <w:szCs w:val="27"/>
        </w:rPr>
        <w:t>Stag</w:t>
      </w:r>
      <w:proofErr w:type="spellEnd"/>
      <w:r>
        <w:rPr>
          <w:rFonts w:ascii="Segoe UI" w:hAnsi="Segoe UI" w:cs="Segoe UI"/>
          <w:color w:val="5D5D5D"/>
          <w:sz w:val="27"/>
          <w:szCs w:val="27"/>
        </w:rPr>
        <w:t xml:space="preserve"> agricolo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9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7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FEBBRAIO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Style w:val="xt0psk2"/>
          <w:rFonts w:ascii="Segoe UI" w:hAnsi="Segoe UI" w:cs="Segoe UI"/>
          <w:b/>
          <w:bCs/>
          <w:color w:val="0D0D0D"/>
          <w:sz w:val="27"/>
          <w:szCs w:val="27"/>
          <w:bdr w:val="none" w:sz="0" w:space="0" w:color="auto" w:frame="1"/>
        </w:rPr>
        <w:t>Lavoro turistico stagionale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Modello C-</w:t>
      </w:r>
      <w:proofErr w:type="spellStart"/>
      <w:r>
        <w:rPr>
          <w:rFonts w:ascii="Segoe UI" w:hAnsi="Segoe UI" w:cs="Segoe UI"/>
          <w:color w:val="5D5D5D"/>
          <w:sz w:val="27"/>
          <w:szCs w:val="27"/>
        </w:rPr>
        <w:t>Stag</w:t>
      </w:r>
      <w:proofErr w:type="spellEnd"/>
      <w:r>
        <w:rPr>
          <w:rFonts w:ascii="Segoe UI" w:hAnsi="Segoe UI" w:cs="Segoe UI"/>
          <w:color w:val="5D5D5D"/>
          <w:sz w:val="27"/>
          <w:szCs w:val="27"/>
        </w:rPr>
        <w:t xml:space="preserve"> turistico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16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7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FEBBRAIO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Style w:val="xt0psk2"/>
          <w:rFonts w:ascii="Segoe UI" w:hAnsi="Segoe UI" w:cs="Segoe UI"/>
          <w:b/>
          <w:bCs/>
          <w:color w:val="0D0D0D"/>
          <w:sz w:val="27"/>
          <w:szCs w:val="27"/>
          <w:bdr w:val="none" w:sz="0" w:space="0" w:color="auto" w:frame="1"/>
        </w:rPr>
        <w:t>Lavoro subordinato non stagionale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Modello B2020</w:t>
      </w:r>
    </w:p>
    <w:p w:rsidR="007720C6" w:rsidRDefault="007720C6" w:rsidP="007720C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18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7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FEBBRAIO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Style w:val="xt0psk2"/>
          <w:rFonts w:ascii="Segoe UI" w:hAnsi="Segoe UI" w:cs="Segoe UI"/>
          <w:b/>
          <w:bCs/>
          <w:color w:val="0D0D0D"/>
          <w:sz w:val="27"/>
          <w:szCs w:val="27"/>
          <w:bdr w:val="none" w:sz="0" w:space="0" w:color="auto" w:frame="1"/>
        </w:rPr>
        <w:t>Assistenza familiare non stagionale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Modello A-bis in quota</w:t>
      </w:r>
    </w:p>
    <w:p w:rsidR="007720C6" w:rsidRDefault="007720C6" w:rsidP="007720C6">
      <w:pPr>
        <w:pStyle w:val="x1ghz6d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CFC"/>
        <w:spacing w:before="0" w:beforeAutospacing="0" w:after="0" w:afterAutospacing="0"/>
        <w:rPr>
          <w:rFonts w:ascii="Segoe UI" w:hAnsi="Segoe UI" w:cs="Segoe UI"/>
          <w:color w:val="5D5D5D"/>
          <w:sz w:val="27"/>
          <w:szCs w:val="27"/>
        </w:rPr>
      </w:pPr>
      <w:r>
        <w:rPr>
          <w:rFonts w:ascii="Segoe UI" w:hAnsi="Segoe UI" w:cs="Segoe UI"/>
          <w:color w:val="5D5D5D"/>
          <w:sz w:val="27"/>
          <w:szCs w:val="27"/>
        </w:rPr>
        <w:t>Tutti gli invii iniziano alle ore 9:00. Le domande possono essere presentate fino al 31 dicembre 2027, nei limiti delle quote disponibili.</w:t>
      </w:r>
    </w:p>
    <w:p w:rsidR="007720C6" w:rsidRPr="007720C6" w:rsidRDefault="007720C6" w:rsidP="007720C6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bdr w:val="none" w:sz="0" w:space="0" w:color="auto" w:frame="1"/>
          <w:shd w:val="clear" w:color="auto" w:fill="F3F3F3"/>
          <w:lang w:eastAsia="it-IT"/>
        </w:rPr>
      </w:pPr>
    </w:p>
    <w:p w:rsidR="007720C6" w:rsidRDefault="007720C6" w:rsidP="007720C6">
      <w:pPr>
        <w:pStyle w:val="Titolo2"/>
        <w:shd w:val="clear" w:color="auto" w:fill="FCFCFC"/>
        <w:spacing w:before="405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4. Chi deve presentare la domanda e come?</w:t>
      </w:r>
    </w:p>
    <w:p w:rsidR="007720C6" w:rsidRDefault="007720C6" w:rsidP="007720C6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 xml:space="preserve">La domanda di nulla osta è presentata dal </w:t>
      </w:r>
      <w:r>
        <w:rPr>
          <w:rStyle w:val="xt0psk2"/>
          <w:rFonts w:ascii="Segoe UI" w:hAnsi="Segoe UI" w:cs="Segoe UI"/>
          <w:b/>
          <w:bCs/>
          <w:color w:val="0D0D0D"/>
          <w:sz w:val="27"/>
          <w:szCs w:val="27"/>
          <w:bdr w:val="none" w:sz="0" w:space="0" w:color="auto" w:frame="1"/>
        </w:rPr>
        <w:t>datore di lavoro</w:t>
      </w:r>
      <w:r>
        <w:rPr>
          <w:rFonts w:ascii="Segoe UI" w:hAnsi="Segoe UI" w:cs="Segoe UI"/>
          <w:color w:val="0D0D0D"/>
          <w:sz w:val="27"/>
          <w:szCs w:val="27"/>
        </w:rPr>
        <w:t>, direttamente oppure tramite un intermediario abilitato, attraverso il Portale Servizi ALI del Ministero dell'Interno.</w:t>
      </w:r>
    </w:p>
    <w:p w:rsidR="007720C6" w:rsidRDefault="007720C6" w:rsidP="007720C6">
      <w:pPr>
        <w:pStyle w:val="x1ghz6dp"/>
        <w:numPr>
          <w:ilvl w:val="0"/>
          <w:numId w:val="8"/>
        </w:numPr>
        <w:shd w:val="clear" w:color="auto" w:fill="FCFCFC"/>
        <w:spacing w:before="0" w:beforeAutospacing="0" w:after="0" w:afterAutospacing="0"/>
        <w:ind w:left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 xml:space="preserve">Portale ufficiale: </w:t>
      </w:r>
      <w:hyperlink r:id="rId6" w:tgtFrame="_blank" w:history="1">
        <w:r>
          <w:rPr>
            <w:rStyle w:val="xt0psk2"/>
            <w:rFonts w:ascii="Segoe UI" w:hAnsi="Segoe UI" w:cs="Segoe UI"/>
            <w:color w:val="0D0D0D"/>
            <w:sz w:val="27"/>
            <w:szCs w:val="27"/>
            <w:u w:val="single"/>
            <w:bdr w:val="none" w:sz="0" w:space="0" w:color="auto" w:frame="1"/>
          </w:rPr>
          <w:t>Portale Servizi ALI – Sportello Unico Immigrazione</w:t>
        </w:r>
        <w:r>
          <w:rPr>
            <w:rStyle w:val="x1ghz6dp1"/>
            <w:rFonts w:ascii="Segoe UI" w:hAnsi="Segoe UI" w:cs="Segoe UI"/>
            <w:color w:val="0D0D0D"/>
            <w:sz w:val="27"/>
            <w:szCs w:val="27"/>
            <w:u w:val="single"/>
            <w:bdr w:val="none" w:sz="0" w:space="0" w:color="auto" w:frame="1"/>
          </w:rPr>
          <w:t> </w:t>
        </w:r>
      </w:hyperlink>
      <w:r>
        <w:rPr>
          <w:rFonts w:ascii="Segoe UI" w:hAnsi="Segoe UI" w:cs="Segoe UI"/>
          <w:color w:val="0D0D0D"/>
          <w:sz w:val="27"/>
          <w:szCs w:val="27"/>
        </w:rPr>
        <w:t>.</w:t>
      </w:r>
    </w:p>
    <w:p w:rsidR="007720C6" w:rsidRDefault="007720C6" w:rsidP="007720C6">
      <w:pPr>
        <w:pStyle w:val="x1ghz6dp"/>
        <w:numPr>
          <w:ilvl w:val="0"/>
          <w:numId w:val="8"/>
        </w:numPr>
        <w:shd w:val="clear" w:color="auto" w:fill="FCFCFC"/>
        <w:spacing w:before="0" w:beforeAutospacing="0" w:after="0" w:afterAutospacing="0"/>
        <w:ind w:left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Il datore di lavoro deve individuare la tipologia di assunzione e utilizzare il modello corretto.</w:t>
      </w:r>
    </w:p>
    <w:p w:rsidR="007720C6" w:rsidRDefault="007720C6" w:rsidP="007720C6">
      <w:pPr>
        <w:pStyle w:val="x1ghz6dp"/>
        <w:numPr>
          <w:ilvl w:val="0"/>
          <w:numId w:val="8"/>
        </w:numPr>
        <w:shd w:val="clear" w:color="auto" w:fill="FCFCFC"/>
        <w:spacing w:before="0" w:beforeAutospacing="0" w:after="0" w:afterAutospacing="0"/>
        <w:ind w:left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La domanda deve essere predisposta in anticipo e salvata nello stato utile all'invio.</w:t>
      </w:r>
    </w:p>
    <w:p w:rsidR="007720C6" w:rsidRDefault="007720C6" w:rsidP="007720C6">
      <w:pPr>
        <w:pStyle w:val="x1ghz6dp"/>
        <w:numPr>
          <w:ilvl w:val="0"/>
          <w:numId w:val="8"/>
        </w:numPr>
        <w:shd w:val="clear" w:color="auto" w:fill="FCFCFC"/>
        <w:spacing w:before="0" w:beforeAutospacing="0" w:after="0" w:afterAutospacing="0"/>
        <w:ind w:left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La presentazione è subordinata ai requisiti previsti dalla normativa e alla disponibilità delle quote.</w:t>
      </w:r>
    </w:p>
    <w:p w:rsidR="007720C6" w:rsidRDefault="007720C6" w:rsidP="007720C6">
      <w:pPr>
        <w:pStyle w:val="x1ghz6dp"/>
        <w:shd w:val="clear" w:color="auto" w:fill="FCFCFC"/>
        <w:spacing w:before="270" w:beforeAutospacing="0" w:after="0" w:afterAutospacing="0"/>
        <w:rPr>
          <w:rFonts w:ascii="Segoe UI" w:hAnsi="Segoe UI" w:cs="Segoe UI"/>
          <w:color w:val="0D0D0D"/>
          <w:sz w:val="27"/>
          <w:szCs w:val="27"/>
        </w:rPr>
      </w:pPr>
      <w:r>
        <w:rPr>
          <w:rFonts w:ascii="Segoe UI" w:hAnsi="Segoe UI" w:cs="Segoe UI"/>
          <w:color w:val="0D0D0D"/>
          <w:sz w:val="27"/>
          <w:szCs w:val="27"/>
        </w:rPr>
        <w:t>Il lavoratore straniero, quindi, non deve confondere la precompilazione della domanda da parte del datore di lavoro con il rilascio automatico del nulla osta.</w:t>
      </w:r>
    </w:p>
    <w:p w:rsidR="007720C6" w:rsidRDefault="007720C6" w:rsidP="004E22B0">
      <w:pPr>
        <w:rPr>
          <w:rFonts w:ascii="Arial" w:hAnsi="Arial" w:cs="Arial"/>
          <w:sz w:val="24"/>
          <w:szCs w:val="24"/>
        </w:rPr>
      </w:pPr>
    </w:p>
    <w:p w:rsidR="007720C6" w:rsidRDefault="007720C6" w:rsidP="004E22B0">
      <w:pPr>
        <w:rPr>
          <w:rFonts w:ascii="Arial" w:hAnsi="Arial" w:cs="Arial"/>
          <w:sz w:val="24"/>
          <w:szCs w:val="24"/>
        </w:rPr>
      </w:pPr>
    </w:p>
    <w:p w:rsidR="007720C6" w:rsidRDefault="007720C6" w:rsidP="004E22B0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  <w:lastRenderedPageBreak/>
        <w:t>5. Quali novità è importante conoscere?</w:t>
      </w:r>
    </w:p>
    <w:p w:rsidR="007720C6" w:rsidRPr="007720C6" w:rsidRDefault="007720C6" w:rsidP="007720C6">
      <w:pPr>
        <w:shd w:val="clear" w:color="auto" w:fill="FCFCFC"/>
        <w:spacing w:before="135"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La circolare richiama alcune modifiche normative che incidono sugli adempimenti successivi alla domanda.</w:t>
      </w:r>
    </w:p>
    <w:p w:rsidR="007720C6" w:rsidRPr="007720C6" w:rsidRDefault="007720C6" w:rsidP="007720C6">
      <w:pPr>
        <w:numPr>
          <w:ilvl w:val="0"/>
          <w:numId w:val="9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27"/>
          <w:szCs w:val="27"/>
          <w:bdr w:val="none" w:sz="0" w:space="0" w:color="auto" w:frame="1"/>
          <w:lang w:eastAsia="it-IT"/>
        </w:rPr>
        <w:t>Conferma della richiesta di nulla osta:</w:t>
      </w: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 il datore di lavoro deve confermare la richiesta entro 15 giorni dalla comunicazione della conclusione degli accertamenti sulla domanda di visto. Se non lo fa, la richiesta si considera rifiutata e l'eventuale nulla osta già rilasciato viene revocato.</w:t>
      </w:r>
    </w:p>
    <w:p w:rsidR="007720C6" w:rsidRPr="007720C6" w:rsidRDefault="007720C6" w:rsidP="007720C6">
      <w:pPr>
        <w:numPr>
          <w:ilvl w:val="0"/>
          <w:numId w:val="9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27"/>
          <w:szCs w:val="27"/>
          <w:bdr w:val="none" w:sz="0" w:space="0" w:color="auto" w:frame="1"/>
          <w:lang w:eastAsia="it-IT"/>
        </w:rPr>
        <w:t>Contratto di soggiorno:</w:t>
      </w: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 dopo l'ingresso del lavoratore in Italia, il datore di lavoro e il lavoratore devono sottoscrivere il contratto entro 15 giorni; entro lo stesso termine il datore di lavoro deve trasmetterlo telematicamente allo Sportello Unico per l'Immigrazione.</w:t>
      </w:r>
    </w:p>
    <w:p w:rsidR="007720C6" w:rsidRPr="007720C6" w:rsidRDefault="007720C6" w:rsidP="007720C6">
      <w:pPr>
        <w:numPr>
          <w:ilvl w:val="0"/>
          <w:numId w:val="9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27"/>
          <w:szCs w:val="27"/>
          <w:bdr w:val="none" w:sz="0" w:space="0" w:color="auto" w:frame="1"/>
          <w:lang w:eastAsia="it-IT"/>
        </w:rPr>
        <w:t>Comunicazioni:</w:t>
      </w: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 xml:space="preserve"> il datore di lavoro deve informare tempestivamente il lavoratore delle comunicazioni ricevute riguardanti la procedura.</w:t>
      </w:r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  <w:t>6. Indicazioni pratiche per l'utenza</w:t>
      </w:r>
    </w:p>
    <w:p w:rsidR="007720C6" w:rsidRPr="007720C6" w:rsidRDefault="007720C6" w:rsidP="007720C6">
      <w:pPr>
        <w:shd w:val="clear" w:color="auto" w:fill="FCFCFC"/>
        <w:spacing w:before="135"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Per evitare errori e ritardi, si consiglia di:</w:t>
      </w:r>
    </w:p>
    <w:p w:rsidR="007720C6" w:rsidRPr="007720C6" w:rsidRDefault="007720C6" w:rsidP="007720C6">
      <w:pPr>
        <w:numPr>
          <w:ilvl w:val="0"/>
          <w:numId w:val="10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Verificare che il rapporto di lavoro rientri in una delle categorie previste.</w:t>
      </w:r>
    </w:p>
    <w:p w:rsidR="007720C6" w:rsidRPr="007720C6" w:rsidRDefault="007720C6" w:rsidP="007720C6">
      <w:pPr>
        <w:numPr>
          <w:ilvl w:val="0"/>
          <w:numId w:val="10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Controllare con attenzione i dati del datore di lavoro e del lavoratore e la documentazione richiesta.</w:t>
      </w:r>
    </w:p>
    <w:p w:rsidR="007720C6" w:rsidRPr="007720C6" w:rsidRDefault="007720C6" w:rsidP="007720C6">
      <w:pPr>
        <w:numPr>
          <w:ilvl w:val="0"/>
          <w:numId w:val="10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Rispettare il periodo di precompilazione e le successive date di invio.</w:t>
      </w:r>
    </w:p>
    <w:p w:rsidR="007720C6" w:rsidRPr="007720C6" w:rsidRDefault="007720C6" w:rsidP="007720C6">
      <w:pPr>
        <w:numPr>
          <w:ilvl w:val="0"/>
          <w:numId w:val="10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Conservare le ricevute e monitorare le comunicazioni del Portale ALI.</w:t>
      </w:r>
    </w:p>
    <w:p w:rsidR="007720C6" w:rsidRPr="007720C6" w:rsidRDefault="007720C6" w:rsidP="007720C6">
      <w:pPr>
        <w:numPr>
          <w:ilvl w:val="0"/>
          <w:numId w:val="10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r w:rsidRPr="007720C6"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  <w:t>Rivolgersi allo Sportello Unico per l'Immigrazione, a un patronato o a un professionista abilitato per chiarire i dubbi sulla propria situazione.</w:t>
      </w:r>
    </w:p>
    <w:p w:rsidR="007720C6" w:rsidRPr="007720C6" w:rsidRDefault="007720C6" w:rsidP="007720C6">
      <w:pPr>
        <w:shd w:val="clear" w:color="auto" w:fill="FCFCFC"/>
        <w:spacing w:before="405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</w:pPr>
      <w:r w:rsidRPr="007720C6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it-IT"/>
        </w:rPr>
        <w:t>Fonti ufficiali e approfondimenti</w:t>
      </w:r>
    </w:p>
    <w:p w:rsidR="007720C6" w:rsidRPr="007720C6" w:rsidRDefault="007720C6" w:rsidP="007720C6">
      <w:pPr>
        <w:numPr>
          <w:ilvl w:val="0"/>
          <w:numId w:val="1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hyperlink r:id="rId7" w:tgtFrame="_blank" w:history="1">
        <w:r w:rsidRPr="007720C6">
          <w:rPr>
            <w:rFonts w:ascii="Segoe UI" w:eastAsia="Times New Roman" w:hAnsi="Segoe UI" w:cs="Segoe UI"/>
            <w:color w:val="0D0D0D"/>
            <w:sz w:val="27"/>
            <w:szCs w:val="27"/>
            <w:u w:val="single"/>
            <w:bdr w:val="none" w:sz="0" w:space="0" w:color="auto" w:frame="1"/>
            <w:lang w:eastAsia="it-IT"/>
          </w:rPr>
          <w:t>Circolare congiunta n. 7185 del 1° ottobre 2026 – Ministero del Lavoro </w:t>
        </w:r>
      </w:hyperlink>
    </w:p>
    <w:p w:rsidR="007720C6" w:rsidRPr="007720C6" w:rsidRDefault="007720C6" w:rsidP="007720C6">
      <w:pPr>
        <w:numPr>
          <w:ilvl w:val="0"/>
          <w:numId w:val="1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hyperlink r:id="rId8" w:tgtFrame="_blank" w:history="1">
        <w:r w:rsidRPr="007720C6">
          <w:rPr>
            <w:rFonts w:ascii="Segoe UI" w:eastAsia="Times New Roman" w:hAnsi="Segoe UI" w:cs="Segoe UI"/>
            <w:color w:val="0D0D0D"/>
            <w:sz w:val="27"/>
            <w:szCs w:val="27"/>
            <w:u w:val="single"/>
            <w:bdr w:val="none" w:sz="0" w:space="0" w:color="auto" w:frame="1"/>
            <w:lang w:eastAsia="it-IT"/>
          </w:rPr>
          <w:t>Informazioni sul Decreto Flussi 2027 – Portale Integrazione Migranti </w:t>
        </w:r>
      </w:hyperlink>
    </w:p>
    <w:p w:rsidR="007720C6" w:rsidRPr="007720C6" w:rsidRDefault="007720C6" w:rsidP="007720C6">
      <w:pPr>
        <w:numPr>
          <w:ilvl w:val="0"/>
          <w:numId w:val="1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7"/>
          <w:szCs w:val="27"/>
          <w:lang w:eastAsia="it-IT"/>
        </w:rPr>
      </w:pPr>
      <w:hyperlink r:id="rId9" w:tgtFrame="_blank" w:history="1">
        <w:r w:rsidRPr="007720C6">
          <w:rPr>
            <w:rFonts w:ascii="Segoe UI" w:eastAsia="Times New Roman" w:hAnsi="Segoe UI" w:cs="Segoe UI"/>
            <w:color w:val="0D0D0D"/>
            <w:sz w:val="27"/>
            <w:szCs w:val="27"/>
            <w:u w:val="single"/>
            <w:bdr w:val="none" w:sz="0" w:space="0" w:color="auto" w:frame="1"/>
            <w:lang w:eastAsia="it-IT"/>
          </w:rPr>
          <w:t>Portale Servizi ALI – Ministero dell'Interno </w:t>
        </w:r>
      </w:hyperlink>
    </w:p>
    <w:p w:rsidR="007720C6" w:rsidRDefault="007720C6" w:rsidP="004E22B0">
      <w:pPr>
        <w:rPr>
          <w:rFonts w:ascii="Arial" w:hAnsi="Arial" w:cs="Arial"/>
          <w:sz w:val="24"/>
          <w:szCs w:val="24"/>
        </w:rPr>
      </w:pPr>
    </w:p>
    <w:p w:rsidR="00441C75" w:rsidRPr="004E22B0" w:rsidRDefault="004E22B0" w:rsidP="004E22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sectPr w:rsidR="00441C75" w:rsidRPr="004E22B0" w:rsidSect="00F0075B">
      <w:pgSz w:w="11906" w:h="16838"/>
      <w:pgMar w:top="568" w:right="113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B42B6"/>
    <w:multiLevelType w:val="hybridMultilevel"/>
    <w:tmpl w:val="00C28F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857BD"/>
    <w:multiLevelType w:val="hybridMultilevel"/>
    <w:tmpl w:val="1FF20A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7BFE"/>
    <w:multiLevelType w:val="multilevel"/>
    <w:tmpl w:val="4430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9E515E"/>
    <w:multiLevelType w:val="hybridMultilevel"/>
    <w:tmpl w:val="414C60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F56B1"/>
    <w:multiLevelType w:val="multilevel"/>
    <w:tmpl w:val="1FDC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6572CD"/>
    <w:multiLevelType w:val="multilevel"/>
    <w:tmpl w:val="CB865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2B15D2"/>
    <w:multiLevelType w:val="hybridMultilevel"/>
    <w:tmpl w:val="545CCD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55F05"/>
    <w:multiLevelType w:val="hybridMultilevel"/>
    <w:tmpl w:val="82D00E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65ABD"/>
    <w:multiLevelType w:val="hybridMultilevel"/>
    <w:tmpl w:val="4844DC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4180B"/>
    <w:multiLevelType w:val="multilevel"/>
    <w:tmpl w:val="0A28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90D7284"/>
    <w:multiLevelType w:val="hybridMultilevel"/>
    <w:tmpl w:val="F8849F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8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D7"/>
    <w:rsid w:val="000B57C9"/>
    <w:rsid w:val="000D1553"/>
    <w:rsid w:val="00115EF0"/>
    <w:rsid w:val="00146AAC"/>
    <w:rsid w:val="00255BCE"/>
    <w:rsid w:val="002E02A4"/>
    <w:rsid w:val="00322CC6"/>
    <w:rsid w:val="003A0D6A"/>
    <w:rsid w:val="00441C75"/>
    <w:rsid w:val="004D641A"/>
    <w:rsid w:val="004E22B0"/>
    <w:rsid w:val="00511A23"/>
    <w:rsid w:val="00637D28"/>
    <w:rsid w:val="006C06C2"/>
    <w:rsid w:val="006E4510"/>
    <w:rsid w:val="00764750"/>
    <w:rsid w:val="007720C6"/>
    <w:rsid w:val="00793FCD"/>
    <w:rsid w:val="009A74D2"/>
    <w:rsid w:val="009B3EB5"/>
    <w:rsid w:val="009C191D"/>
    <w:rsid w:val="00A368D7"/>
    <w:rsid w:val="00AB52AE"/>
    <w:rsid w:val="00AF5727"/>
    <w:rsid w:val="00B52808"/>
    <w:rsid w:val="00B573C0"/>
    <w:rsid w:val="00BA4C5D"/>
    <w:rsid w:val="00C57C23"/>
    <w:rsid w:val="00CA19AD"/>
    <w:rsid w:val="00D050C7"/>
    <w:rsid w:val="00D400AB"/>
    <w:rsid w:val="00D97533"/>
    <w:rsid w:val="00F0075B"/>
    <w:rsid w:val="00F22247"/>
    <w:rsid w:val="00F22E7E"/>
    <w:rsid w:val="00F261B5"/>
    <w:rsid w:val="00F43632"/>
    <w:rsid w:val="00F71164"/>
    <w:rsid w:val="00F76BD4"/>
    <w:rsid w:val="00F967E3"/>
    <w:rsid w:val="00FA0F18"/>
    <w:rsid w:val="00FC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720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72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FCD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46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B52AE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B52AE"/>
    <w:rPr>
      <w:i/>
      <w:iCs/>
    </w:rPr>
  </w:style>
  <w:style w:type="character" w:styleId="Enfasigrassetto">
    <w:name w:val="Strong"/>
    <w:basedOn w:val="Carpredefinitoparagrafo"/>
    <w:uiPriority w:val="22"/>
    <w:qFormat/>
    <w:rsid w:val="00AB52AE"/>
    <w:rPr>
      <w:b/>
      <w:bCs/>
    </w:rPr>
  </w:style>
  <w:style w:type="paragraph" w:styleId="Paragrafoelenco">
    <w:name w:val="List Paragraph"/>
    <w:basedOn w:val="Normale"/>
    <w:uiPriority w:val="34"/>
    <w:qFormat/>
    <w:rsid w:val="00F22E7E"/>
    <w:pPr>
      <w:ind w:left="720"/>
      <w:contextualSpacing/>
    </w:pPr>
  </w:style>
  <w:style w:type="table" w:styleId="Grigliatabella">
    <w:name w:val="Table Grid"/>
    <w:basedOn w:val="Tabellanormale"/>
    <w:uiPriority w:val="59"/>
    <w:rsid w:val="004E2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720C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720C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x1ghz6dp">
    <w:name w:val="x1ghz6dp"/>
    <w:basedOn w:val="Normale"/>
    <w:rsid w:val="0077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t0psk2">
    <w:name w:val="xt0psk2"/>
    <w:basedOn w:val="Carpredefinitoparagrafo"/>
    <w:rsid w:val="007720C6"/>
  </w:style>
  <w:style w:type="character" w:customStyle="1" w:styleId="x-default-marker">
    <w:name w:val="x-default-marker"/>
    <w:basedOn w:val="Carpredefinitoparagrafo"/>
    <w:rsid w:val="007720C6"/>
  </w:style>
  <w:style w:type="character" w:customStyle="1" w:styleId="x1ghz6dp1">
    <w:name w:val="x1ghz6dp1"/>
    <w:basedOn w:val="Carpredefinitoparagrafo"/>
    <w:rsid w:val="007720C6"/>
  </w:style>
  <w:style w:type="character" w:customStyle="1" w:styleId="x12zg6f2">
    <w:name w:val="x12zg6f2"/>
    <w:basedOn w:val="Carpredefinitoparagrafo"/>
    <w:rsid w:val="00772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720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720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FCD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46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B52AE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B52AE"/>
    <w:rPr>
      <w:i/>
      <w:iCs/>
    </w:rPr>
  </w:style>
  <w:style w:type="character" w:styleId="Enfasigrassetto">
    <w:name w:val="Strong"/>
    <w:basedOn w:val="Carpredefinitoparagrafo"/>
    <w:uiPriority w:val="22"/>
    <w:qFormat/>
    <w:rsid w:val="00AB52AE"/>
    <w:rPr>
      <w:b/>
      <w:bCs/>
    </w:rPr>
  </w:style>
  <w:style w:type="paragraph" w:styleId="Paragrafoelenco">
    <w:name w:val="List Paragraph"/>
    <w:basedOn w:val="Normale"/>
    <w:uiPriority w:val="34"/>
    <w:qFormat/>
    <w:rsid w:val="00F22E7E"/>
    <w:pPr>
      <w:ind w:left="720"/>
      <w:contextualSpacing/>
    </w:pPr>
  </w:style>
  <w:style w:type="table" w:styleId="Grigliatabella">
    <w:name w:val="Table Grid"/>
    <w:basedOn w:val="Tabellanormale"/>
    <w:uiPriority w:val="59"/>
    <w:rsid w:val="004E2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720C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720C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x1ghz6dp">
    <w:name w:val="x1ghz6dp"/>
    <w:basedOn w:val="Normale"/>
    <w:rsid w:val="0077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t0psk2">
    <w:name w:val="xt0psk2"/>
    <w:basedOn w:val="Carpredefinitoparagrafo"/>
    <w:rsid w:val="007720C6"/>
  </w:style>
  <w:style w:type="character" w:customStyle="1" w:styleId="x-default-marker">
    <w:name w:val="x-default-marker"/>
    <w:basedOn w:val="Carpredefinitoparagrafo"/>
    <w:rsid w:val="007720C6"/>
  </w:style>
  <w:style w:type="character" w:customStyle="1" w:styleId="x1ghz6dp1">
    <w:name w:val="x1ghz6dp1"/>
    <w:basedOn w:val="Carpredefinitoparagrafo"/>
    <w:rsid w:val="007720C6"/>
  </w:style>
  <w:style w:type="character" w:customStyle="1" w:styleId="x12zg6f2">
    <w:name w:val="x12zg6f2"/>
    <w:basedOn w:val="Carpredefinitoparagrafo"/>
    <w:rsid w:val="00772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284">
          <w:marLeft w:val="1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70069">
          <w:marLeft w:val="1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253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3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0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10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16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33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9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97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76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99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44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24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07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1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80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31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0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7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9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08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9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13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73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9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69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8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71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47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8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73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9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17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92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1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3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13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2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07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9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21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9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66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9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24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9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80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75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4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9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71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9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0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88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3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3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36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47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02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1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8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8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grazionemigranti.gov.it/it-it/Ricerca-news/Dettaglio-news/id/4946?utm_source=chatgpt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avoro.gov.it/notizie/pagine/decreto-flussi-2027-pubblicata-la-circolare-con-le-indicazioni-operative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eservizi.dlci.interno.it/AliSportello/ali/home.htm?utm_source=chatgpt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rtaleservizi.dlci.interno.it/AliSportello/ali/home.htm?utm_source=chatgpt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2026-05-20T06:48:00Z</cp:lastPrinted>
  <dcterms:created xsi:type="dcterms:W3CDTF">2026-10-22T14:22:00Z</dcterms:created>
  <dcterms:modified xsi:type="dcterms:W3CDTF">2026-10-22T14:22:00Z</dcterms:modified>
</cp:coreProperties>
</file>